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4F5" w:rsidRDefault="00BA018B">
      <w:pPr>
        <w:spacing w:line="276" w:lineRule="auto"/>
        <w:ind w:left="-1644"/>
        <w:jc w:val="right"/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cs="Tahoma"/>
          <w:b/>
        </w:rPr>
        <w:t xml:space="preserve">  </w:t>
      </w:r>
      <w:r>
        <w:rPr>
          <w:rFonts w:cs="Tahoma"/>
          <w:sz w:val="18"/>
          <w:szCs w:val="18"/>
        </w:rPr>
        <w:t>Приложение №__ к договору подряда</w:t>
      </w:r>
    </w:p>
    <w:p w:rsidR="003934F5" w:rsidRDefault="00BA018B">
      <w:pPr>
        <w:spacing w:line="276" w:lineRule="auto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sz w:val="18"/>
          <w:szCs w:val="18"/>
        </w:rPr>
        <w:t xml:space="preserve">                                                                                   №_________________от__________</w:t>
      </w:r>
    </w:p>
    <w:p w:rsidR="003934F5" w:rsidRDefault="00BA018B">
      <w:pPr>
        <w:spacing w:line="276" w:lineRule="auto"/>
        <w:jc w:val="right"/>
      </w:pPr>
      <w:r>
        <w:rPr>
          <w:rFonts w:cs="Tahoma"/>
        </w:rPr>
        <w:tab/>
        <w:t xml:space="preserve">   </w:t>
      </w:r>
    </w:p>
    <w:p w:rsidR="003934F5" w:rsidRDefault="00BA018B">
      <w:pPr>
        <w:spacing w:line="276" w:lineRule="auto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  УТВЕРЖДАЮ</w:t>
      </w:r>
    </w:p>
    <w:p w:rsidR="003934F5" w:rsidRDefault="00BA018B">
      <w:pPr>
        <w:spacing w:line="276" w:lineRule="auto"/>
        <w:ind w:left="-113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ab/>
      </w:r>
      <w:r>
        <w:rPr>
          <w:rFonts w:cs="Tahoma"/>
        </w:rPr>
        <w:tab/>
        <w:t xml:space="preserve">                                    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 xml:space="preserve">      Главный управляющий директор</w:t>
      </w:r>
    </w:p>
    <w:p w:rsidR="003934F5" w:rsidRDefault="00BA018B">
      <w:pPr>
        <w:spacing w:line="276" w:lineRule="auto"/>
        <w:ind w:left="6973" w:hanging="2017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 xml:space="preserve">      ООО «Самарские коммунальные системы»</w:t>
      </w:r>
    </w:p>
    <w:p w:rsidR="003934F5" w:rsidRDefault="003934F5">
      <w:pPr>
        <w:spacing w:line="276" w:lineRule="auto"/>
        <w:ind w:left="6973" w:hanging="7080"/>
        <w:jc w:val="right"/>
        <w:rPr>
          <w:rFonts w:cs="Tahoma"/>
        </w:rPr>
      </w:pPr>
    </w:p>
    <w:p w:rsidR="003934F5" w:rsidRDefault="00BA018B">
      <w:pPr>
        <w:spacing w:line="276" w:lineRule="auto"/>
        <w:ind w:left="5664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 xml:space="preserve">        _________________ В.В. Бирюков</w:t>
      </w:r>
    </w:p>
    <w:p w:rsidR="003934F5" w:rsidRDefault="003934F5">
      <w:pPr>
        <w:spacing w:line="276" w:lineRule="auto"/>
        <w:ind w:left="7080" w:hanging="7080"/>
        <w:jc w:val="right"/>
        <w:rPr>
          <w:rFonts w:cs="Tahoma"/>
        </w:rPr>
      </w:pPr>
    </w:p>
    <w:p w:rsidR="003934F5" w:rsidRDefault="003934F5">
      <w:pPr>
        <w:pStyle w:val="11"/>
        <w:spacing w:line="276" w:lineRule="auto"/>
        <w:rPr>
          <w:rFonts w:ascii="Times New Roman" w:hAnsi="Times New Roman" w:cs="Tahoma"/>
        </w:rPr>
      </w:pPr>
    </w:p>
    <w:p w:rsidR="003934F5" w:rsidRDefault="00BA018B">
      <w:pPr>
        <w:pStyle w:val="11"/>
        <w:spacing w:line="276" w:lineRule="auto"/>
      </w:pPr>
      <w:r>
        <w:rPr>
          <w:rFonts w:ascii="Times New Roman" w:hAnsi="Times New Roman" w:cs="Tahoma"/>
        </w:rPr>
        <w:t xml:space="preserve">ТЕХНИЧЕСКОЕ </w:t>
      </w:r>
      <w:r w:rsidR="00F610FF">
        <w:rPr>
          <w:rFonts w:ascii="Times New Roman" w:hAnsi="Times New Roman" w:cs="Tahoma"/>
        </w:rPr>
        <w:t>ЗАДАНИЕ № СКС-2022-В-ИП-8.4.24</w:t>
      </w:r>
    </w:p>
    <w:p w:rsidR="003934F5" w:rsidRDefault="003934F5">
      <w:pPr>
        <w:spacing w:line="276" w:lineRule="auto"/>
        <w:rPr>
          <w:rFonts w:cs="Tahoma"/>
        </w:rPr>
      </w:pPr>
      <w:bookmarkStart w:id="0" w:name="_GoBack"/>
      <w:bookmarkEnd w:id="0"/>
    </w:p>
    <w:p w:rsidR="005C17B1" w:rsidRDefault="005C17B1">
      <w:pPr>
        <w:jc w:val="center"/>
        <w:rPr>
          <w:color w:val="000000"/>
          <w:lang w:eastAsia="zh-CN"/>
        </w:rPr>
      </w:pPr>
      <w:bookmarkStart w:id="1" w:name="__DdeLink__462_546582808"/>
      <w:r>
        <w:rPr>
          <w:color w:val="000000"/>
          <w:lang w:eastAsia="zh-CN"/>
        </w:rPr>
        <w:t>На выпо</w:t>
      </w:r>
      <w:r w:rsidR="00381BC7">
        <w:rPr>
          <w:color w:val="000000"/>
          <w:lang w:eastAsia="zh-CN"/>
        </w:rPr>
        <w:t>лнение пуско-наладоч</w:t>
      </w:r>
      <w:r>
        <w:rPr>
          <w:color w:val="000000"/>
          <w:lang w:eastAsia="zh-CN"/>
        </w:rPr>
        <w:t>ных работ по объекту:</w:t>
      </w:r>
    </w:p>
    <w:p w:rsidR="003934F5" w:rsidRDefault="005C17B1">
      <w:pPr>
        <w:jc w:val="center"/>
      </w:pPr>
      <w:r>
        <w:rPr>
          <w:color w:val="000000"/>
          <w:lang w:eastAsia="zh-CN"/>
        </w:rPr>
        <w:t>«</w:t>
      </w:r>
      <w:r w:rsidR="00BA018B">
        <w:rPr>
          <w:color w:val="000000"/>
          <w:lang w:eastAsia="zh-CN"/>
        </w:rPr>
        <w:t>М</w:t>
      </w:r>
      <w:r w:rsidR="00BA018B">
        <w:rPr>
          <w:color w:val="000000"/>
        </w:rPr>
        <w:t>одернизация сетей водоотведения и сооружений на них</w:t>
      </w:r>
      <w:r w:rsidR="00BA018B">
        <w:rPr>
          <w:color w:val="auto"/>
          <w:lang w:eastAsia="zh-CN"/>
        </w:rPr>
        <w:t>.</w:t>
      </w:r>
      <w:bookmarkEnd w:id="1"/>
    </w:p>
    <w:p w:rsidR="003934F5" w:rsidRDefault="005C17B1">
      <w:pPr>
        <w:jc w:val="center"/>
        <w:rPr>
          <w:rFonts w:cs="Tahoma"/>
          <w:color w:val="000000"/>
        </w:rPr>
      </w:pPr>
      <w:bookmarkStart w:id="2" w:name="__DdeLink__366_2708591100"/>
      <w:bookmarkStart w:id="3" w:name="__DdeLink__711_2953349968"/>
      <w:r>
        <w:rPr>
          <w:rFonts w:cs="Tahoma"/>
          <w:color w:val="000000"/>
        </w:rPr>
        <w:t>Зам</w:t>
      </w:r>
      <w:r w:rsidR="00F610FF">
        <w:rPr>
          <w:rFonts w:cs="Tahoma"/>
          <w:color w:val="000000"/>
        </w:rPr>
        <w:t>ена насосного агрегата на КНС 13</w:t>
      </w:r>
      <w:r w:rsidR="00044E42">
        <w:rPr>
          <w:rFonts w:cs="Tahoma"/>
          <w:color w:val="000000"/>
        </w:rPr>
        <w:t>»</w:t>
      </w:r>
      <w:r w:rsidR="00BA018B">
        <w:rPr>
          <w:rFonts w:cs="Tahoma"/>
          <w:color w:val="000000"/>
        </w:rPr>
        <w:t xml:space="preserve">. </w:t>
      </w:r>
      <w:bookmarkEnd w:id="2"/>
      <w:bookmarkEnd w:id="3"/>
    </w:p>
    <w:p w:rsidR="0013052D" w:rsidRDefault="0013052D">
      <w:pPr>
        <w:jc w:val="center"/>
        <w:rPr>
          <w:rFonts w:cs="Arial"/>
        </w:rPr>
      </w:pPr>
    </w:p>
    <w:tbl>
      <w:tblPr>
        <w:tblW w:w="10145" w:type="dxa"/>
        <w:tblInd w:w="595" w:type="dxa"/>
        <w:tblCellMar>
          <w:left w:w="28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6317"/>
      </w:tblGrid>
      <w:tr w:rsidR="003934F5" w:rsidTr="00AE18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№ </w:t>
            </w:r>
            <w:proofErr w:type="gramStart"/>
            <w:r>
              <w:rPr>
                <w:rFonts w:cs="Tahoma"/>
              </w:rPr>
              <w:t>п</w:t>
            </w:r>
            <w:proofErr w:type="gramEnd"/>
            <w:r>
              <w:rPr>
                <w:rFonts w:cs="Tahoma"/>
              </w:rPr>
              <w:t>/п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 w:rsidR="003934F5" w:rsidRPr="00381BC7" w:rsidTr="00AE18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napToGrid w:val="0"/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3934F5" w:rsidRDefault="00BA018B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 w:rsidR="003934F5" w:rsidRDefault="00BA018B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631050001</w:t>
            </w:r>
          </w:p>
          <w:p w:rsidR="003934F5" w:rsidRDefault="00BA018B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 w:rsidR="003934F5" w:rsidRDefault="00BA018B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 40702810903370000034</w:t>
            </w:r>
          </w:p>
          <w:p w:rsidR="003934F5" w:rsidRDefault="00BA018B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 w:rsidR="003934F5" w:rsidRDefault="00BA018B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 w:rsidR="003934F5" w:rsidRDefault="00BA018B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 w:rsidR="003934F5" w:rsidRDefault="00BA018B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 w:rsidR="003934F5" w:rsidRDefault="00BA018B">
            <w:pPr>
              <w:spacing w:line="276" w:lineRule="auto"/>
              <w:jc w:val="both"/>
            </w:pPr>
            <w:r>
              <w:rPr>
                <w:rFonts w:cs="Tahoma"/>
              </w:rPr>
              <w:t>действует на основании доверенности № 20 от 20.02.2021г.     т.+7(846)336-14-02, факс +7(846)336-89-05</w:t>
            </w:r>
          </w:p>
          <w:p w:rsidR="003934F5" w:rsidRPr="00042F5D" w:rsidRDefault="00BA018B">
            <w:pPr>
              <w:spacing w:after="40" w:line="276" w:lineRule="auto"/>
              <w:jc w:val="both"/>
              <w:rPr>
                <w:lang w:val="en-US"/>
              </w:rPr>
            </w:pPr>
            <w:proofErr w:type="gramStart"/>
            <w:r>
              <w:rPr>
                <w:rFonts w:cs="Tahoma"/>
              </w:rPr>
              <w:t>е</w:t>
            </w:r>
            <w:proofErr w:type="gramEnd"/>
            <w:r>
              <w:rPr>
                <w:rFonts w:cs="Tahoma"/>
                <w:lang w:val="en-US"/>
              </w:rPr>
              <w:t xml:space="preserve">-mail: </w:t>
            </w:r>
            <w:hyperlink r:id="rId7">
              <w:r>
                <w:rPr>
                  <w:rStyle w:val="-"/>
                  <w:rFonts w:cs="Tahoma"/>
                  <w:color w:val="00000A"/>
                  <w:lang w:val="en-US"/>
                </w:rPr>
                <w:t>oks@samcomsys.ru</w:t>
              </w:r>
            </w:hyperlink>
          </w:p>
        </w:tc>
      </w:tr>
      <w:tr w:rsidR="003934F5" w:rsidTr="00AE18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ahoma"/>
                <w:bCs/>
              </w:rPr>
              <w:t>Инвестиционная программ</w:t>
            </w:r>
            <w:proofErr w:type="gramStart"/>
            <w:r>
              <w:rPr>
                <w:rFonts w:ascii="Times New Roman" w:hAnsi="Times New Roman" w:cs="Tahoma"/>
                <w:bCs/>
              </w:rPr>
              <w:t>а ООО</w:t>
            </w:r>
            <w:proofErr w:type="gramEnd"/>
            <w:r>
              <w:rPr>
                <w:rFonts w:ascii="Times New Roman" w:hAnsi="Times New Roman" w:cs="Tahoma"/>
                <w:bCs/>
              </w:rPr>
              <w:t xml:space="preserve"> «Самарские коммунальные системы».</w:t>
            </w:r>
          </w:p>
        </w:tc>
      </w:tr>
      <w:tr w:rsidR="003934F5" w:rsidTr="00AE18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6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44E42" w:rsidRPr="00044E42" w:rsidRDefault="00044E42" w:rsidP="00044E42">
            <w:pPr>
              <w:jc w:val="both"/>
              <w:rPr>
                <w:rFonts w:eastAsia="Tahoma"/>
              </w:rPr>
            </w:pPr>
            <w:r w:rsidRPr="00044E42">
              <w:rPr>
                <w:rFonts w:eastAsia="Tahoma"/>
              </w:rPr>
              <w:t>Модернизация сетей водоотведения и сооружений на них.</w:t>
            </w:r>
          </w:p>
          <w:p w:rsidR="0013052D" w:rsidRDefault="00044E42" w:rsidP="00044E42">
            <w:pPr>
              <w:jc w:val="both"/>
              <w:rPr>
                <w:rFonts w:eastAsia="Tahoma"/>
              </w:rPr>
            </w:pPr>
            <w:r w:rsidRPr="00044E42">
              <w:rPr>
                <w:rFonts w:eastAsia="Tahoma"/>
              </w:rPr>
              <w:t>Замен</w:t>
            </w:r>
            <w:r w:rsidR="005200FC">
              <w:rPr>
                <w:rFonts w:eastAsia="Tahoma"/>
              </w:rPr>
              <w:t xml:space="preserve">а насосного агрегата на КНС </w:t>
            </w:r>
            <w:r w:rsidRPr="00044E42">
              <w:rPr>
                <w:rFonts w:eastAsia="Tahoma"/>
              </w:rPr>
              <w:t>1</w:t>
            </w:r>
            <w:r w:rsidR="005200FC">
              <w:rPr>
                <w:rFonts w:eastAsia="Tahoma"/>
              </w:rPr>
              <w:t>3</w:t>
            </w:r>
            <w:r w:rsidR="00BA018B">
              <w:rPr>
                <w:color w:val="000000"/>
              </w:rPr>
              <w:t>.</w:t>
            </w:r>
            <w:r w:rsidR="00BA018B">
              <w:rPr>
                <w:rFonts w:eastAsia="Tahoma"/>
              </w:rPr>
              <w:t xml:space="preserve">   </w:t>
            </w:r>
          </w:p>
          <w:p w:rsidR="0013052D" w:rsidRDefault="0013052D" w:rsidP="00044E42">
            <w:pPr>
              <w:jc w:val="both"/>
              <w:rPr>
                <w:rFonts w:eastAsia="Tahoma"/>
              </w:rPr>
            </w:pPr>
            <w:r>
              <w:rPr>
                <w:rFonts w:eastAsia="Tahoma"/>
              </w:rPr>
              <w:t>Местоположение:</w:t>
            </w:r>
          </w:p>
          <w:p w:rsidR="003934F5" w:rsidRPr="005200FC" w:rsidRDefault="005200FC" w:rsidP="006823C9">
            <w:pPr>
              <w:jc w:val="both"/>
              <w:rPr>
                <w:rFonts w:eastAsia="Tahoma"/>
              </w:rPr>
            </w:pPr>
            <w:r>
              <w:rPr>
                <w:rFonts w:eastAsia="Tahoma"/>
              </w:rPr>
              <w:t>КНС 13</w:t>
            </w:r>
            <w:r w:rsidR="0013052D">
              <w:rPr>
                <w:rFonts w:eastAsia="Tahoma"/>
              </w:rPr>
              <w:t xml:space="preserve"> </w:t>
            </w:r>
            <w:r w:rsidR="000A51F8">
              <w:rPr>
                <w:rFonts w:eastAsia="Tahoma"/>
              </w:rPr>
              <w:t>-</w:t>
            </w:r>
            <w:r w:rsidR="0013052D">
              <w:rPr>
                <w:rFonts w:eastAsia="Tahoma"/>
              </w:rPr>
              <w:t xml:space="preserve"> </w:t>
            </w:r>
            <w:proofErr w:type="spellStart"/>
            <w:r w:rsidR="006823C9">
              <w:rPr>
                <w:rFonts w:eastAsia="Tahoma"/>
              </w:rPr>
              <w:t>г</w:t>
            </w:r>
            <w:proofErr w:type="gramStart"/>
            <w:r w:rsidR="006823C9">
              <w:rPr>
                <w:rFonts w:eastAsia="Tahoma"/>
              </w:rPr>
              <w:t>.</w:t>
            </w:r>
            <w:r w:rsidR="003E0C07">
              <w:rPr>
                <w:rFonts w:eastAsia="Tahoma"/>
              </w:rPr>
              <w:t>С</w:t>
            </w:r>
            <w:proofErr w:type="gramEnd"/>
            <w:r w:rsidR="003E0C07">
              <w:rPr>
                <w:rFonts w:eastAsia="Tahoma"/>
              </w:rPr>
              <w:t>амара</w:t>
            </w:r>
            <w:proofErr w:type="spellEnd"/>
            <w:r w:rsidR="003E0C07">
              <w:rPr>
                <w:rFonts w:eastAsia="Tahoma"/>
              </w:rPr>
              <w:t xml:space="preserve">, </w:t>
            </w:r>
            <w:r w:rsidR="006823C9">
              <w:rPr>
                <w:rFonts w:eastAsia="Tahoma"/>
              </w:rPr>
              <w:t xml:space="preserve">Куйбышевский район, </w:t>
            </w:r>
            <w:r w:rsidR="003E0C07">
              <w:rPr>
                <w:rFonts w:eastAsia="Tahoma"/>
              </w:rPr>
              <w:t xml:space="preserve">ул. </w:t>
            </w:r>
            <w:proofErr w:type="spellStart"/>
            <w:r w:rsidR="006823C9">
              <w:rPr>
                <w:rFonts w:eastAsia="Tahoma"/>
              </w:rPr>
              <w:t>Кряжская</w:t>
            </w:r>
            <w:proofErr w:type="spellEnd"/>
            <w:r w:rsidR="006823C9">
              <w:rPr>
                <w:rFonts w:eastAsia="Tahoma"/>
              </w:rPr>
              <w:t>, б/н</w:t>
            </w:r>
          </w:p>
        </w:tc>
      </w:tr>
      <w:tr w:rsidR="003934F5" w:rsidTr="00AE18A8">
        <w:trPr>
          <w:trHeight w:val="45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pStyle w:val="22"/>
              <w:spacing w:before="120" w:line="240" w:lineRule="auto"/>
              <w:ind w:left="0"/>
            </w:pPr>
            <w:r>
              <w:rPr>
                <w:rFonts w:cs="Tahoma"/>
                <w:bCs/>
              </w:rPr>
              <w:t>Плата за</w:t>
            </w:r>
            <w:r w:rsidRPr="003E0C07">
              <w:rPr>
                <w:rFonts w:cs="Tahoma"/>
                <w:bCs/>
              </w:rPr>
              <w:t xml:space="preserve"> </w:t>
            </w:r>
            <w:r w:rsidR="00FC0770">
              <w:rPr>
                <w:rFonts w:cs="Tahoma"/>
                <w:bCs/>
              </w:rPr>
              <w:t>ПДК</w:t>
            </w:r>
          </w:p>
        </w:tc>
      </w:tr>
      <w:tr w:rsidR="003934F5" w:rsidTr="00AE18A8">
        <w:trPr>
          <w:trHeight w:val="345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Pr="00C57B89" w:rsidRDefault="00BA018B">
            <w:pPr>
              <w:jc w:val="both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Модернизация сетей водоотведения и сооружений на них</w:t>
            </w:r>
            <w:r w:rsidR="00C57B89">
              <w:rPr>
                <w:color w:val="000000"/>
                <w:lang w:eastAsia="zh-CN"/>
              </w:rPr>
              <w:t>.</w:t>
            </w:r>
          </w:p>
        </w:tc>
      </w:tr>
      <w:tr w:rsidR="003934F5" w:rsidTr="00AE18A8">
        <w:trPr>
          <w:trHeight w:val="144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Pr="001C3BFB" w:rsidRDefault="00897D15" w:rsidP="00A86BC9">
            <w:pPr>
              <w:tabs>
                <w:tab w:val="left" w:pos="5145"/>
              </w:tabs>
              <w:snapToGrid w:val="0"/>
              <w:spacing w:line="276" w:lineRule="auto"/>
              <w:rPr>
                <w:color w:val="auto"/>
              </w:rPr>
            </w:pPr>
            <w:r>
              <w:t xml:space="preserve">КНС-13 производительностью </w:t>
            </w:r>
            <w:r w:rsidRPr="001B2B61">
              <w:rPr>
                <w:color w:val="auto"/>
              </w:rPr>
              <w:t>21 600 м3/час</w:t>
            </w:r>
            <w:r w:rsidR="00C76741">
              <w:rPr>
                <w:color w:val="auto"/>
              </w:rPr>
              <w:t xml:space="preserve">.                     </w:t>
            </w:r>
            <w:r w:rsidR="00C76741" w:rsidRPr="00C76741">
              <w:rPr>
                <w:color w:val="auto"/>
              </w:rPr>
              <w:t xml:space="preserve">Синхронный </w:t>
            </w:r>
            <w:proofErr w:type="spellStart"/>
            <w:r w:rsidR="00C76741" w:rsidRPr="00C76741">
              <w:rPr>
                <w:color w:val="auto"/>
              </w:rPr>
              <w:t>эл</w:t>
            </w:r>
            <w:proofErr w:type="gramStart"/>
            <w:r w:rsidR="00C76741" w:rsidRPr="00C76741">
              <w:rPr>
                <w:color w:val="auto"/>
              </w:rPr>
              <w:t>.д</w:t>
            </w:r>
            <w:proofErr w:type="gramEnd"/>
            <w:r w:rsidR="00C76741" w:rsidRPr="00C76741">
              <w:rPr>
                <w:color w:val="auto"/>
              </w:rPr>
              <w:t>вигатель</w:t>
            </w:r>
            <w:proofErr w:type="spellEnd"/>
            <w:r w:rsidR="00C76741" w:rsidRPr="00C76741">
              <w:rPr>
                <w:color w:val="auto"/>
              </w:rPr>
              <w:t xml:space="preserve"> мощностью 1250кВт, асинхронный эл. двигатель мощностью 800кВт и 1000кВт. 2 ЧРП 1190кВа </w:t>
            </w:r>
          </w:p>
        </w:tc>
      </w:tr>
      <w:tr w:rsidR="003934F5" w:rsidTr="00AE18A8">
        <w:trPr>
          <w:trHeight w:val="425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pStyle w:val="aa"/>
              <w:spacing w:before="120" w:after="120" w:line="276" w:lineRule="auto"/>
              <w:ind w:left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 w:cs="Tahoma"/>
              </w:rPr>
              <w:t>Непрерывн</w:t>
            </w:r>
            <w:r w:rsidR="00A86BC9">
              <w:rPr>
                <w:rFonts w:ascii="Times New Roman" w:hAnsi="Times New Roman" w:cs="Tahoma"/>
              </w:rPr>
              <w:t>ый</w:t>
            </w:r>
            <w:proofErr w:type="gramEnd"/>
            <w:r w:rsidR="00A86BC9">
              <w:rPr>
                <w:rFonts w:ascii="Times New Roman" w:hAnsi="Times New Roman" w:cs="Tahoma"/>
              </w:rPr>
              <w:t>, в условиях действующего производства</w:t>
            </w:r>
            <w:r>
              <w:rPr>
                <w:rFonts w:ascii="Times New Roman" w:hAnsi="Times New Roman" w:cs="Tahoma"/>
              </w:rPr>
              <w:t>.</w:t>
            </w:r>
          </w:p>
        </w:tc>
      </w:tr>
      <w:tr w:rsidR="003934F5" w:rsidTr="00AE18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8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Pr="00543FB1" w:rsidRDefault="00BA018B" w:rsidP="001A0273">
            <w:pPr>
              <w:spacing w:before="120" w:after="120" w:line="276" w:lineRule="auto"/>
              <w:rPr>
                <w:color w:val="auto"/>
              </w:rPr>
            </w:pPr>
            <w:r w:rsidRPr="00543FB1">
              <w:rPr>
                <w:rFonts w:cs="Tahoma"/>
                <w:color w:val="auto"/>
              </w:rPr>
              <w:t xml:space="preserve">Предоставление </w:t>
            </w:r>
            <w:r w:rsidR="003A657A" w:rsidRPr="00543FB1">
              <w:rPr>
                <w:rFonts w:cs="Tahoma"/>
                <w:color w:val="auto"/>
              </w:rPr>
              <w:t xml:space="preserve">доступа к оборудованию, </w:t>
            </w:r>
            <w:r w:rsidR="00C57B89" w:rsidRPr="00543FB1">
              <w:rPr>
                <w:rFonts w:cs="Tahoma"/>
                <w:color w:val="auto"/>
              </w:rPr>
              <w:t xml:space="preserve"> отключение </w:t>
            </w:r>
            <w:r w:rsidR="003A657A" w:rsidRPr="00543FB1">
              <w:rPr>
                <w:rFonts w:cs="Tahoma"/>
                <w:color w:val="auto"/>
              </w:rPr>
              <w:t xml:space="preserve">и допуск к работам </w:t>
            </w:r>
            <w:r w:rsidR="00C57B89" w:rsidRPr="00543FB1">
              <w:rPr>
                <w:rFonts w:cs="Tahoma"/>
                <w:color w:val="auto"/>
              </w:rPr>
              <w:t>по заявке</w:t>
            </w:r>
            <w:r w:rsidR="003A657A" w:rsidRPr="00543FB1">
              <w:rPr>
                <w:rFonts w:cs="Tahoma"/>
                <w:color w:val="auto"/>
              </w:rPr>
              <w:t>,</w:t>
            </w:r>
            <w:r w:rsidR="00C57B89" w:rsidRPr="00543FB1">
              <w:rPr>
                <w:rFonts w:cs="Tahoma"/>
                <w:color w:val="auto"/>
              </w:rPr>
              <w:t xml:space="preserve"> в соответствии с графиком работ</w:t>
            </w:r>
          </w:p>
        </w:tc>
      </w:tr>
      <w:tr w:rsidR="003934F5" w:rsidTr="00AE18A8">
        <w:trPr>
          <w:trHeight w:val="125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Pr="00543FB1" w:rsidRDefault="00BA018B" w:rsidP="003A657A">
            <w:pPr>
              <w:jc w:val="both"/>
              <w:rPr>
                <w:color w:val="auto"/>
              </w:rPr>
            </w:pPr>
            <w:r w:rsidRPr="00543FB1">
              <w:rPr>
                <w:rFonts w:cs="Tahoma"/>
                <w:color w:val="auto"/>
              </w:rPr>
              <w:t xml:space="preserve">Выполнение комплекса </w:t>
            </w:r>
            <w:r w:rsidR="003A657A" w:rsidRPr="00543FB1">
              <w:rPr>
                <w:rFonts w:cs="Tahoma"/>
                <w:color w:val="auto"/>
              </w:rPr>
              <w:t>мероприятий</w:t>
            </w:r>
            <w:r w:rsidRPr="00543FB1">
              <w:rPr>
                <w:rFonts w:cs="Tahoma"/>
                <w:color w:val="auto"/>
              </w:rPr>
              <w:t xml:space="preserve"> по </w:t>
            </w:r>
            <w:r w:rsidR="00C57B89" w:rsidRPr="00543FB1">
              <w:rPr>
                <w:rFonts w:cs="Tahoma"/>
                <w:color w:val="auto"/>
              </w:rPr>
              <w:t>уст</w:t>
            </w:r>
            <w:r w:rsidR="003A657A" w:rsidRPr="00543FB1">
              <w:rPr>
                <w:rFonts w:cs="Tahoma"/>
                <w:color w:val="auto"/>
              </w:rPr>
              <w:t xml:space="preserve">ановке программного обеспечения, </w:t>
            </w:r>
            <w:r w:rsidR="00C57B89" w:rsidRPr="00543FB1">
              <w:rPr>
                <w:rFonts w:cs="Tahoma"/>
                <w:color w:val="auto"/>
              </w:rPr>
              <w:t xml:space="preserve">синхронизации и наладке работы </w:t>
            </w:r>
            <w:r w:rsidR="003A657A" w:rsidRPr="00543FB1">
              <w:rPr>
                <w:rFonts w:cs="Tahoma"/>
                <w:color w:val="auto"/>
              </w:rPr>
              <w:t xml:space="preserve">преобразователя частоты </w:t>
            </w:r>
            <w:r w:rsidR="003A657A" w:rsidRPr="00543FB1">
              <w:rPr>
                <w:rFonts w:cs="Tahoma"/>
                <w:color w:val="auto"/>
                <w:lang w:val="en-US"/>
              </w:rPr>
              <w:t>ATV</w:t>
            </w:r>
            <w:r w:rsidR="003A657A" w:rsidRPr="00543FB1">
              <w:rPr>
                <w:rFonts w:cs="Tahoma"/>
                <w:color w:val="auto"/>
              </w:rPr>
              <w:t xml:space="preserve"> 1200</w:t>
            </w:r>
            <w:r w:rsidR="003A657A" w:rsidRPr="00543FB1">
              <w:rPr>
                <w:rFonts w:cs="Tahoma"/>
                <w:color w:val="auto"/>
                <w:lang w:val="en-US"/>
              </w:rPr>
              <w:t>C</w:t>
            </w:r>
            <w:r w:rsidR="003A657A" w:rsidRPr="00543FB1">
              <w:rPr>
                <w:rFonts w:cs="Tahoma"/>
                <w:color w:val="auto"/>
              </w:rPr>
              <w:t xml:space="preserve"> – </w:t>
            </w:r>
            <w:r w:rsidR="003A657A" w:rsidRPr="00543FB1">
              <w:rPr>
                <w:rFonts w:cs="Tahoma"/>
                <w:color w:val="auto"/>
                <w:lang w:val="en-US"/>
              </w:rPr>
              <w:t>A</w:t>
            </w:r>
            <w:r w:rsidR="003A657A" w:rsidRPr="00543FB1">
              <w:rPr>
                <w:rFonts w:cs="Tahoma"/>
                <w:color w:val="auto"/>
              </w:rPr>
              <w:t xml:space="preserve"> 1560 – 6060</w:t>
            </w:r>
            <w:r w:rsidR="003A657A" w:rsidRPr="00543FB1">
              <w:rPr>
                <w:rFonts w:cs="Tahoma"/>
                <w:color w:val="auto"/>
                <w:lang w:val="en-US"/>
              </w:rPr>
              <w:t>Y</w:t>
            </w:r>
            <w:r w:rsidR="003A657A" w:rsidRPr="00543FB1">
              <w:rPr>
                <w:rFonts w:cs="Tahoma"/>
                <w:color w:val="auto"/>
              </w:rPr>
              <w:t xml:space="preserve">3 </w:t>
            </w:r>
            <w:r w:rsidR="003A657A" w:rsidRPr="00543FB1">
              <w:rPr>
                <w:rFonts w:cs="Tahoma"/>
                <w:color w:val="auto"/>
                <w:lang w:val="en-US"/>
              </w:rPr>
              <w:t>c</w:t>
            </w:r>
            <w:r w:rsidR="003A657A" w:rsidRPr="00543FB1">
              <w:rPr>
                <w:rFonts w:cs="Tahoma"/>
                <w:color w:val="auto"/>
              </w:rPr>
              <w:t xml:space="preserve"> насосными агрегатами</w:t>
            </w:r>
            <w:r w:rsidR="00B06A38" w:rsidRPr="00543FB1">
              <w:rPr>
                <w:rFonts w:cs="Tahoma"/>
                <w:color w:val="auto"/>
              </w:rPr>
              <w:t xml:space="preserve"> </w:t>
            </w:r>
            <w:r w:rsidR="00C57B89" w:rsidRPr="00543FB1">
              <w:rPr>
                <w:rFonts w:cs="Tahoma"/>
                <w:color w:val="auto"/>
              </w:rPr>
              <w:t>с синхронными и асинхронными двигателями</w:t>
            </w:r>
            <w:r w:rsidR="00663087" w:rsidRPr="00543FB1">
              <w:rPr>
                <w:rFonts w:cs="Tahoma"/>
                <w:color w:val="auto"/>
              </w:rPr>
              <w:t xml:space="preserve"> </w:t>
            </w:r>
            <w:r w:rsidR="00B06A38" w:rsidRPr="00543FB1">
              <w:rPr>
                <w:rFonts w:cs="Tahoma"/>
                <w:color w:val="auto"/>
              </w:rPr>
              <w:t xml:space="preserve">на КНС </w:t>
            </w:r>
            <w:r w:rsidR="00663087" w:rsidRPr="00543FB1">
              <w:rPr>
                <w:rFonts w:cs="Tahoma"/>
                <w:color w:val="auto"/>
              </w:rPr>
              <w:t>13</w:t>
            </w:r>
            <w:r w:rsidR="00C57B89" w:rsidRPr="00543FB1">
              <w:rPr>
                <w:rFonts w:cs="Tahoma"/>
                <w:color w:val="auto"/>
              </w:rPr>
              <w:t>.</w:t>
            </w:r>
          </w:p>
        </w:tc>
      </w:tr>
      <w:tr w:rsidR="003934F5" w:rsidTr="00AE18A8">
        <w:trPr>
          <w:trHeight w:val="1142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 w:rsidP="001B2B61">
            <w:pPr>
              <w:spacing w:line="276" w:lineRule="auto"/>
              <w:jc w:val="both"/>
            </w:pPr>
            <w:r>
              <w:rPr>
                <w:rFonts w:cs="Tahoma"/>
              </w:rPr>
              <w:t xml:space="preserve">Поставку </w:t>
            </w:r>
            <w:r w:rsidR="00C57B89">
              <w:rPr>
                <w:rFonts w:cs="Tahoma"/>
              </w:rPr>
              <w:t>программного обеспечения</w:t>
            </w:r>
            <w:r>
              <w:rPr>
                <w:rFonts w:cs="Tahoma"/>
              </w:rPr>
              <w:t xml:space="preserve"> осуществляет подрядчик. </w:t>
            </w:r>
          </w:p>
        </w:tc>
      </w:tr>
      <w:tr w:rsidR="003934F5" w:rsidTr="00AE18A8">
        <w:trPr>
          <w:trHeight w:val="3935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документации и требования к их содержанию</w:t>
            </w:r>
          </w:p>
        </w:tc>
        <w:tc>
          <w:tcPr>
            <w:tcW w:w="6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napToGrid w:val="0"/>
              <w:spacing w:before="120"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1. </w:t>
            </w:r>
            <w:r w:rsidR="001B1B66" w:rsidRPr="00543FB1">
              <w:rPr>
                <w:rFonts w:cs="Tahoma"/>
                <w:color w:val="auto"/>
              </w:rPr>
              <w:t xml:space="preserve">Подрядчик предоставляет проект производства работ </w:t>
            </w:r>
            <w:r>
              <w:rPr>
                <w:rFonts w:cs="Tahoma"/>
              </w:rPr>
              <w:t>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 w:rsidR="003934F5" w:rsidRDefault="0041534F">
            <w:pPr>
              <w:snapToGrid w:val="0"/>
              <w:spacing w:line="276" w:lineRule="auto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cs="Tahoma"/>
              </w:rPr>
              <w:t>2.  Исполнительная документация в составе:</w:t>
            </w:r>
          </w:p>
          <w:p w:rsidR="003934F5" w:rsidRDefault="00BA018B">
            <w:pPr>
              <w:snapToGrid w:val="0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>- свидетельство наличия членства в саморегулируемой организации,</w:t>
            </w:r>
          </w:p>
          <w:p w:rsidR="0041534F" w:rsidRPr="00C57B89" w:rsidRDefault="0041534F" w:rsidP="0041534F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- общий журнал работ, в котором отражается последовательность выполнения объемов, ответственные исполнители, материалы.</w:t>
            </w:r>
          </w:p>
          <w:p w:rsidR="0041534F" w:rsidRDefault="0041534F" w:rsidP="0041534F">
            <w:pPr>
              <w:tabs>
                <w:tab w:val="left" w:pos="2805"/>
              </w:tabs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- акты на скрытые работы</w:t>
            </w:r>
          </w:p>
          <w:p w:rsidR="0041534F" w:rsidRDefault="0041534F" w:rsidP="0041534F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- исполнительная схема</w:t>
            </w:r>
          </w:p>
          <w:p w:rsidR="0041534F" w:rsidRDefault="0041534F" w:rsidP="0041534F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- монтажная схема</w:t>
            </w:r>
          </w:p>
          <w:p w:rsidR="0041534F" w:rsidRPr="0041534F" w:rsidRDefault="0041534F" w:rsidP="0041534F">
            <w:pPr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- акт приемки в эксплуатацию</w:t>
            </w:r>
          </w:p>
          <w:p w:rsidR="003934F5" w:rsidRDefault="00BA018B">
            <w:pPr>
              <w:snapToGrid w:val="0"/>
              <w:spacing w:line="276" w:lineRule="auto"/>
              <w:jc w:val="both"/>
            </w:pPr>
            <w:r>
              <w:rPr>
                <w:rFonts w:cs="Tahoma"/>
              </w:rPr>
              <w:t>- сертификаты на применяемые материалы и оборудование.</w:t>
            </w:r>
          </w:p>
          <w:p w:rsidR="003934F5" w:rsidRDefault="0041534F">
            <w:pPr>
              <w:spacing w:after="120" w:line="276" w:lineRule="auto"/>
              <w:ind w:left="45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3</w:t>
            </w:r>
            <w:r w:rsidR="00BA018B">
              <w:rPr>
                <w:rFonts w:cs="Tahoma"/>
              </w:rPr>
              <w:t xml:space="preserve">. Акт выполненных работ </w:t>
            </w:r>
            <w:r w:rsidR="00764F2E">
              <w:rPr>
                <w:rFonts w:cs="Tahoma"/>
              </w:rPr>
              <w:t>по форме КС-2 с визой эксплуатирующего подразделения Заказчика, справка о стоимости работ по форме КС-3, реестр выполненных работ по форме ИФ-3.1 (Приложение №1 к ТЗ) предоставляются не позднее 25 числа отчетного месяца.</w:t>
            </w:r>
          </w:p>
        </w:tc>
      </w:tr>
      <w:tr w:rsidR="003934F5" w:rsidTr="00AE18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pStyle w:val="ac"/>
              <w:spacing w:before="120"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 xml:space="preserve">1. Исполнитель до производства работ согласовывает с Заказчиком в письменном виде все отклонения </w:t>
            </w:r>
            <w:r w:rsidR="00663087"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от ТЗ</w:t>
            </w: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.</w:t>
            </w:r>
          </w:p>
          <w:p w:rsidR="003934F5" w:rsidRDefault="00BA018B">
            <w:pPr>
              <w:pStyle w:val="ac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2. Изменение утвержденных решений согласовывается Заказчиком и оформляется в письменном виде</w:t>
            </w:r>
            <w:r w:rsidR="00663087"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.</w:t>
            </w:r>
          </w:p>
          <w:p w:rsidR="003934F5" w:rsidRDefault="00BA018B">
            <w:pPr>
              <w:spacing w:after="120"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color w:val="000000" w:themeColor="text1"/>
              </w:rPr>
              <w:t>3. Согласованные с Заказчиком изменения  отражаются в  исполнительной документации.</w:t>
            </w:r>
          </w:p>
        </w:tc>
      </w:tr>
      <w:tr w:rsidR="003934F5" w:rsidTr="00AE18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 w:rsidP="00CF08E3">
            <w:pPr>
              <w:spacing w:before="120" w:after="120" w:line="276" w:lineRule="auto"/>
              <w:jc w:val="both"/>
            </w:pPr>
            <w:r>
              <w:rPr>
                <w:rFonts w:cs="Tahoma"/>
              </w:rPr>
              <w:t xml:space="preserve">В </w:t>
            </w:r>
            <w:r w:rsidRPr="00CF08E3">
              <w:rPr>
                <w:rFonts w:cs="Tahoma"/>
                <w:color w:val="auto"/>
              </w:rPr>
              <w:t>соответ</w:t>
            </w:r>
            <w:r w:rsidR="00EE4290" w:rsidRPr="00CF08E3">
              <w:rPr>
                <w:rFonts w:cs="Tahoma"/>
                <w:color w:val="auto"/>
              </w:rPr>
              <w:t xml:space="preserve">ствии </w:t>
            </w:r>
            <w:r w:rsidR="00CF08E3" w:rsidRPr="00CF08E3">
              <w:rPr>
                <w:rFonts w:cs="Tahoma"/>
                <w:color w:val="auto"/>
              </w:rPr>
              <w:t>с</w:t>
            </w:r>
            <w:r w:rsidRPr="00CF08E3">
              <w:rPr>
                <w:rFonts w:cs="Tahoma"/>
                <w:color w:val="auto"/>
              </w:rPr>
              <w:t xml:space="preserve"> </w:t>
            </w:r>
            <w:r>
              <w:rPr>
                <w:rFonts w:cs="Tahoma"/>
              </w:rPr>
              <w:t>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 w:rsidR="003934F5" w:rsidTr="00AE18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Pr="001C3BFB" w:rsidRDefault="00BA018B" w:rsidP="00F920B1">
            <w:pPr>
              <w:spacing w:line="276" w:lineRule="auto"/>
              <w:rPr>
                <w:color w:val="auto"/>
              </w:rPr>
            </w:pPr>
            <w:r>
              <w:rPr>
                <w:rFonts w:cs="Tahoma"/>
              </w:rPr>
              <w:t xml:space="preserve"> </w:t>
            </w:r>
            <w:r w:rsidR="00543FB1">
              <w:rPr>
                <w:rFonts w:cs="Tahoma"/>
                <w:color w:val="auto"/>
              </w:rPr>
              <w:t>ТЗ, ВОР, л</w:t>
            </w:r>
            <w:r w:rsidR="00F920B1" w:rsidRPr="00F920B1">
              <w:rPr>
                <w:rFonts w:cs="Tahoma"/>
                <w:color w:val="auto"/>
              </w:rPr>
              <w:t>окальный сметный расчет</w:t>
            </w:r>
          </w:p>
        </w:tc>
      </w:tr>
      <w:tr w:rsidR="003934F5" w:rsidTr="00AE18A8">
        <w:trPr>
          <w:trHeight w:val="601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15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 w:rsidP="00663087">
            <w:pPr>
              <w:spacing w:line="276" w:lineRule="auto"/>
              <w:jc w:val="both"/>
            </w:pPr>
            <w:r>
              <w:rPr>
                <w:rFonts w:cs="Tahoma"/>
              </w:rPr>
              <w:t>Сметн</w:t>
            </w:r>
            <w:r w:rsidR="00663087">
              <w:rPr>
                <w:rFonts w:cs="Tahoma"/>
              </w:rPr>
              <w:t>ая документация предоставляется заказчиком</w:t>
            </w:r>
          </w:p>
        </w:tc>
      </w:tr>
      <w:tr w:rsidR="003934F5" w:rsidTr="00AE18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before="120"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природоохранных документов, Законодательства и проектом.</w:t>
            </w:r>
          </w:p>
          <w:p w:rsidR="003934F5" w:rsidRDefault="00BA018B">
            <w:pPr>
              <w:spacing w:after="12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Обязательное условие – полная уборка и утилизация непригодных материалов.</w:t>
            </w:r>
          </w:p>
        </w:tc>
      </w:tr>
      <w:tr w:rsidR="003934F5" w:rsidTr="00AE18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17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Pr="001C3BFB" w:rsidRDefault="003934F5">
            <w:pPr>
              <w:spacing w:line="276" w:lineRule="auto"/>
              <w:jc w:val="both"/>
              <w:rPr>
                <w:rFonts w:cs="Tahoma"/>
                <w:color w:val="auto"/>
              </w:rPr>
            </w:pPr>
          </w:p>
          <w:p w:rsidR="003934F5" w:rsidRPr="001C3BFB" w:rsidRDefault="00663087">
            <w:pPr>
              <w:spacing w:line="276" w:lineRule="auto"/>
              <w:jc w:val="both"/>
              <w:rPr>
                <w:rFonts w:ascii="Tahoma" w:hAnsi="Tahoma" w:cs="Tahoma"/>
                <w:color w:val="auto"/>
                <w:sz w:val="20"/>
              </w:rPr>
            </w:pPr>
            <w:r>
              <w:rPr>
                <w:rFonts w:cs="Tahoma"/>
                <w:color w:val="auto"/>
              </w:rPr>
              <w:t>Не требуется</w:t>
            </w:r>
            <w:r w:rsidR="002A29AA" w:rsidRPr="001C3BFB">
              <w:rPr>
                <w:rFonts w:cs="Tahoma"/>
                <w:color w:val="auto"/>
              </w:rPr>
              <w:t>.</w:t>
            </w:r>
          </w:p>
          <w:p w:rsidR="003934F5" w:rsidRPr="001C3BFB" w:rsidRDefault="003934F5">
            <w:pPr>
              <w:spacing w:line="276" w:lineRule="auto"/>
              <w:jc w:val="both"/>
              <w:rPr>
                <w:rFonts w:cs="Tahoma"/>
                <w:color w:val="auto"/>
              </w:rPr>
            </w:pPr>
          </w:p>
        </w:tc>
      </w:tr>
      <w:tr w:rsidR="003934F5" w:rsidTr="00AE18A8">
        <w:trPr>
          <w:trHeight w:val="68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63087" w:rsidRPr="001C3BFB" w:rsidRDefault="00663087" w:rsidP="00663087">
            <w:pPr>
              <w:spacing w:line="276" w:lineRule="auto"/>
              <w:jc w:val="both"/>
              <w:rPr>
                <w:rFonts w:cs="Tahoma"/>
                <w:color w:val="auto"/>
              </w:rPr>
            </w:pPr>
          </w:p>
          <w:p w:rsidR="00663087" w:rsidRPr="001C3BFB" w:rsidRDefault="00663087" w:rsidP="00663087">
            <w:pPr>
              <w:spacing w:line="276" w:lineRule="auto"/>
              <w:jc w:val="both"/>
              <w:rPr>
                <w:rFonts w:ascii="Tahoma" w:hAnsi="Tahoma" w:cs="Tahoma"/>
                <w:color w:val="auto"/>
                <w:sz w:val="20"/>
              </w:rPr>
            </w:pPr>
            <w:r>
              <w:rPr>
                <w:rFonts w:cs="Tahoma"/>
                <w:color w:val="auto"/>
              </w:rPr>
              <w:t>Не требуется</w:t>
            </w:r>
            <w:r w:rsidRPr="001C3BFB">
              <w:rPr>
                <w:rFonts w:cs="Tahoma"/>
                <w:color w:val="auto"/>
              </w:rPr>
              <w:t>.</w:t>
            </w:r>
          </w:p>
          <w:p w:rsidR="003934F5" w:rsidRPr="001C3BFB" w:rsidRDefault="003934F5">
            <w:pPr>
              <w:spacing w:line="276" w:lineRule="auto"/>
              <w:jc w:val="both"/>
              <w:rPr>
                <w:rFonts w:ascii="Tahoma" w:hAnsi="Tahoma" w:cs="Tahoma"/>
                <w:color w:val="auto"/>
                <w:sz w:val="20"/>
              </w:rPr>
            </w:pPr>
          </w:p>
        </w:tc>
      </w:tr>
      <w:tr w:rsidR="003934F5" w:rsidTr="00AE18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Технические требования к технологическому оборудованию</w:t>
            </w:r>
          </w:p>
        </w:tc>
        <w:tc>
          <w:tcPr>
            <w:tcW w:w="6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Pr="00F920B1" w:rsidRDefault="00F920B1">
            <w:pPr>
              <w:spacing w:line="276" w:lineRule="auto"/>
              <w:jc w:val="both"/>
              <w:rPr>
                <w:rFonts w:ascii="Tahoma" w:hAnsi="Tahoma" w:cs="Tahoma"/>
                <w:color w:val="auto"/>
                <w:sz w:val="20"/>
              </w:rPr>
            </w:pPr>
            <w:r>
              <w:rPr>
                <w:rFonts w:cs="Tahoma"/>
                <w:color w:val="auto"/>
              </w:rPr>
              <w:t>Не требуется</w:t>
            </w:r>
            <w:r w:rsidRPr="001C3BFB">
              <w:rPr>
                <w:rFonts w:cs="Tahoma"/>
                <w:color w:val="auto"/>
              </w:rPr>
              <w:t>.</w:t>
            </w:r>
          </w:p>
        </w:tc>
      </w:tr>
      <w:tr w:rsidR="003934F5" w:rsidTr="00AE18A8">
        <w:trPr>
          <w:trHeight w:val="27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 w:rsidP="002A29AA">
            <w:pPr>
              <w:spacing w:before="120" w:after="120"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</w:t>
            </w:r>
            <w:proofErr w:type="spellStart"/>
            <w:r>
              <w:rPr>
                <w:rFonts w:cs="Tahoma"/>
                <w:bCs/>
                <w:color w:val="000000"/>
              </w:rPr>
              <w:t>г.о</w:t>
            </w:r>
            <w:proofErr w:type="spellEnd"/>
            <w:r>
              <w:rPr>
                <w:rFonts w:cs="Tahoma"/>
                <w:bCs/>
                <w:color w:val="000000"/>
              </w:rPr>
              <w:t xml:space="preserve">. Самара от 26.07.2011 №832 </w:t>
            </w:r>
            <w:r>
              <w:rPr>
                <w:rFonts w:cs="Tahoma"/>
                <w:spacing w:val="1"/>
              </w:rPr>
              <w:t xml:space="preserve">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утилизацию, размещение, за внесение платы за негативное воздействие на окружающую среду в результате размещения образованных отходов.</w:t>
            </w:r>
            <w:r w:rsidR="002A29AA">
              <w:rPr>
                <w:rFonts w:cs="Tahoma"/>
                <w:bCs/>
                <w:color w:val="000000"/>
              </w:rPr>
              <w:t xml:space="preserve"> </w:t>
            </w:r>
            <w:r w:rsidR="002A29AA"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и чёрных металлов.</w:t>
            </w:r>
          </w:p>
        </w:tc>
      </w:tr>
      <w:tr w:rsidR="003934F5" w:rsidTr="00AE18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 w:rsidR="003934F5" w:rsidTr="00AE18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CF08E3">
            <w:pPr>
              <w:spacing w:line="276" w:lineRule="auto"/>
              <w:jc w:val="both"/>
            </w:pPr>
            <w:r w:rsidRPr="00CF08E3">
              <w:rPr>
                <w:rFonts w:cs="Tahoma"/>
                <w:color w:val="auto"/>
              </w:rPr>
              <w:t>30</w:t>
            </w:r>
            <w:r w:rsidR="00663087">
              <w:rPr>
                <w:rFonts w:cs="Tahoma"/>
              </w:rPr>
              <w:t xml:space="preserve"> календарных дней</w:t>
            </w:r>
            <w:r w:rsidR="00DD22E3">
              <w:rPr>
                <w:rFonts w:cs="Tahoma"/>
              </w:rPr>
              <w:t xml:space="preserve"> </w:t>
            </w:r>
            <w:proofErr w:type="gramStart"/>
            <w:r w:rsidR="00BA018B">
              <w:rPr>
                <w:rFonts w:cs="Tahoma"/>
              </w:rPr>
              <w:t xml:space="preserve">с </w:t>
            </w:r>
            <w:r w:rsidR="005A741B">
              <w:rPr>
                <w:rFonts w:cs="Tahoma"/>
              </w:rPr>
              <w:t>даты допуска</w:t>
            </w:r>
            <w:proofErr w:type="gramEnd"/>
            <w:r w:rsidR="005A741B">
              <w:rPr>
                <w:rFonts w:cs="Tahoma"/>
              </w:rPr>
              <w:t xml:space="preserve"> на объект</w:t>
            </w:r>
            <w:r w:rsidR="00BA018B">
              <w:rPr>
                <w:rFonts w:cs="Tahoma"/>
              </w:rPr>
              <w:t>.</w:t>
            </w:r>
          </w:p>
        </w:tc>
      </w:tr>
      <w:tr w:rsidR="003934F5" w:rsidTr="00AE18A8">
        <w:trPr>
          <w:trHeight w:val="611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 w:rsidP="00075BD7">
            <w:pPr>
              <w:spacing w:line="276" w:lineRule="auto"/>
              <w:jc w:val="both"/>
            </w:pPr>
            <w:r>
              <w:rPr>
                <w:rFonts w:cs="Tahoma"/>
              </w:rPr>
              <w:t xml:space="preserve">Все необходимые согласования выполняет исполнитель. Отступления от </w:t>
            </w:r>
            <w:r w:rsidR="00075BD7">
              <w:rPr>
                <w:rFonts w:cs="Tahoma"/>
              </w:rPr>
              <w:t xml:space="preserve">ПСД </w:t>
            </w:r>
            <w:r>
              <w:rPr>
                <w:rFonts w:cs="Tahoma"/>
              </w:rPr>
              <w:t>должны быть согласованы с Заказчиком.</w:t>
            </w:r>
          </w:p>
        </w:tc>
      </w:tr>
      <w:tr w:rsidR="003934F5" w:rsidTr="00AE18A8">
        <w:trPr>
          <w:trHeight w:val="1627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 w:rsidP="00696A6F">
            <w:pPr>
              <w:snapToGrid w:val="0"/>
              <w:spacing w:before="120" w:after="12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РФ.</w:t>
            </w:r>
          </w:p>
        </w:tc>
      </w:tr>
      <w:tr w:rsidR="003934F5" w:rsidTr="00AE18A8">
        <w:trPr>
          <w:trHeight w:val="1511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25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pStyle w:val="ac"/>
              <w:numPr>
                <w:ilvl w:val="0"/>
                <w:numId w:val="1"/>
              </w:numPr>
              <w:snapToGrid w:val="0"/>
              <w:spacing w:before="120" w:after="0"/>
              <w:ind w:right="-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 w:rsidR="003934F5" w:rsidRDefault="00BA018B">
            <w:pPr>
              <w:pStyle w:val="ac"/>
              <w:numPr>
                <w:ilvl w:val="0"/>
                <w:numId w:val="1"/>
              </w:numPr>
              <w:snapToGrid w:val="0"/>
              <w:spacing w:after="0"/>
              <w:ind w:right="-3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 w:rsidR="003934F5" w:rsidRDefault="00BA018B">
            <w:pPr>
              <w:spacing w:after="120" w:line="276" w:lineRule="auto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Акты выполненных работ (КС-2, КС-3</w:t>
            </w:r>
            <w:r w:rsidR="00F500A5">
              <w:rPr>
                <w:rFonts w:cs="Tahoma"/>
              </w:rPr>
              <w:t>, ОС-1а, КС-11)</w:t>
            </w:r>
            <w:r>
              <w:rPr>
                <w:rFonts w:cs="Tahoma"/>
              </w:rPr>
              <w:t xml:space="preserve"> - 3 экз.</w:t>
            </w:r>
          </w:p>
        </w:tc>
      </w:tr>
      <w:tr w:rsidR="003934F5" w:rsidTr="00AE18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26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3934F5">
            <w:pPr>
              <w:spacing w:line="276" w:lineRule="auto"/>
              <w:rPr>
                <w:rFonts w:cs="Tahoma"/>
              </w:rPr>
            </w:pPr>
          </w:p>
          <w:p w:rsidR="003934F5" w:rsidRDefault="00BA018B">
            <w:p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Дополнительные требования и особые условия</w:t>
            </w:r>
          </w:p>
        </w:tc>
        <w:tc>
          <w:tcPr>
            <w:tcW w:w="6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34F5" w:rsidRDefault="00BA018B">
            <w:pPr>
              <w:snapToGrid w:val="0"/>
              <w:spacing w:before="120"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Подрядчик самостоятельно обеспечивает доступ</w:t>
            </w:r>
            <w:r w:rsidR="009A19A7">
              <w:rPr>
                <w:rFonts w:cs="Tahoma"/>
              </w:rPr>
              <w:t xml:space="preserve"> к мест</w:t>
            </w:r>
            <w:proofErr w:type="gramStart"/>
            <w:r w:rsidR="009A19A7">
              <w:rPr>
                <w:rFonts w:cs="Tahoma"/>
              </w:rPr>
              <w:t>у(</w:t>
            </w:r>
            <w:proofErr w:type="spellStart"/>
            <w:proofErr w:type="gramEnd"/>
            <w:r w:rsidR="009A19A7">
              <w:rPr>
                <w:rFonts w:cs="Tahoma"/>
              </w:rPr>
              <w:t>ам</w:t>
            </w:r>
            <w:proofErr w:type="spellEnd"/>
            <w:r w:rsidR="009A19A7">
              <w:rPr>
                <w:rFonts w:cs="Tahoma"/>
              </w:rPr>
              <w:t>) производства работ и проводит необходимые согласования.</w:t>
            </w:r>
          </w:p>
          <w:p w:rsidR="003934F5" w:rsidRDefault="00BA018B">
            <w:pPr>
              <w:snapToGrid w:val="0"/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Подрядчик предоставляет  фотоотчет о проведении работ.</w:t>
            </w:r>
          </w:p>
          <w:p w:rsidR="007A4818" w:rsidRDefault="00BA018B" w:rsidP="007A4818">
            <w:pPr>
              <w:snapToGrid w:val="0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3.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</w:t>
            </w:r>
          </w:p>
          <w:p w:rsidR="003A657A" w:rsidRPr="00EE0A72" w:rsidRDefault="003A657A" w:rsidP="003A657A">
            <w:pPr>
              <w:pStyle w:val="ae"/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A72">
              <w:rPr>
                <w:rFonts w:ascii="Times New Roman" w:hAnsi="Times New Roman"/>
                <w:sz w:val="24"/>
                <w:szCs w:val="24"/>
              </w:rPr>
              <w:t xml:space="preserve">4. Специалисты и ИТР Подрядчика должны иметь свидетельства и сертификаты о прохождении следующих курсов в соответствии с </w:t>
            </w:r>
            <w:proofErr w:type="gramStart"/>
            <w:r w:rsidRPr="00EE0A72">
              <w:rPr>
                <w:rFonts w:ascii="Times New Roman" w:hAnsi="Times New Roman"/>
                <w:sz w:val="24"/>
                <w:szCs w:val="24"/>
              </w:rPr>
              <w:t>применяемыми</w:t>
            </w:r>
            <w:proofErr w:type="gramEnd"/>
            <w:r w:rsidRPr="00EE0A72">
              <w:rPr>
                <w:rFonts w:ascii="Times New Roman" w:hAnsi="Times New Roman"/>
                <w:sz w:val="24"/>
                <w:szCs w:val="24"/>
              </w:rPr>
              <w:t xml:space="preserve"> в системах оборудованием и ПО:</w:t>
            </w:r>
          </w:p>
          <w:p w:rsidR="003A657A" w:rsidRPr="00EE0A72" w:rsidRDefault="003A657A" w:rsidP="003A657A">
            <w:pPr>
              <w:spacing w:after="120"/>
              <w:ind w:left="567"/>
              <w:jc w:val="both"/>
              <w:rPr>
                <w:color w:val="auto"/>
              </w:rPr>
            </w:pPr>
            <w:r w:rsidRPr="00EE0A72">
              <w:rPr>
                <w:color w:val="auto"/>
              </w:rPr>
              <w:t>- Курс специалиста по программированию и эксплуатация контроллеров в инструментальной среде PL7 Шнейдер Электрик – не менее 2 чел.</w:t>
            </w:r>
          </w:p>
          <w:p w:rsidR="003A657A" w:rsidRPr="00EE0A72" w:rsidRDefault="003A657A" w:rsidP="003A657A">
            <w:pPr>
              <w:spacing w:after="120"/>
              <w:ind w:left="567"/>
              <w:jc w:val="both"/>
              <w:rPr>
                <w:color w:val="auto"/>
              </w:rPr>
            </w:pPr>
            <w:r w:rsidRPr="00EE0A72">
              <w:rPr>
                <w:color w:val="auto"/>
              </w:rPr>
              <w:t xml:space="preserve">- Курс специалиста по программированию и эксплуатация контроллеров в инструментальной среде </w:t>
            </w:r>
            <w:r w:rsidRPr="00EE0A72">
              <w:rPr>
                <w:color w:val="auto"/>
                <w:lang w:val="en-US"/>
              </w:rPr>
              <w:t>Unity</w:t>
            </w:r>
            <w:r w:rsidRPr="00EE0A72">
              <w:rPr>
                <w:color w:val="auto"/>
              </w:rPr>
              <w:t xml:space="preserve"> Шнейдер Электрик</w:t>
            </w:r>
            <w:proofErr w:type="gramStart"/>
            <w:r w:rsidRPr="00EE0A72">
              <w:rPr>
                <w:color w:val="auto"/>
              </w:rPr>
              <w:t xml:space="preserve"> - – </w:t>
            </w:r>
            <w:proofErr w:type="gramEnd"/>
            <w:r w:rsidRPr="00EE0A72">
              <w:rPr>
                <w:color w:val="auto"/>
              </w:rPr>
              <w:t>не менее 2 чел.</w:t>
            </w:r>
          </w:p>
          <w:p w:rsidR="003A657A" w:rsidRPr="00EE0A72" w:rsidRDefault="003A657A" w:rsidP="003A657A">
            <w:pPr>
              <w:spacing w:after="120"/>
              <w:ind w:left="567"/>
              <w:jc w:val="both"/>
              <w:rPr>
                <w:color w:val="auto"/>
              </w:rPr>
            </w:pPr>
            <w:r w:rsidRPr="00EE0A72">
              <w:rPr>
                <w:color w:val="auto"/>
              </w:rPr>
              <w:t xml:space="preserve">- Курс специалиста по монтажу и пуско-наладочным работам преобразователей частоты </w:t>
            </w:r>
            <w:r w:rsidRPr="00EE0A72">
              <w:rPr>
                <w:color w:val="auto"/>
                <w:lang w:val="en-US"/>
              </w:rPr>
              <w:t>ATV</w:t>
            </w:r>
            <w:r w:rsidRPr="00EE0A72">
              <w:rPr>
                <w:color w:val="auto"/>
              </w:rPr>
              <w:t>1200 – не менее 2 чел.</w:t>
            </w:r>
          </w:p>
          <w:p w:rsidR="003A657A" w:rsidRPr="00EE0A72" w:rsidRDefault="003A657A" w:rsidP="003A657A">
            <w:pPr>
              <w:spacing w:after="120"/>
              <w:ind w:left="567"/>
              <w:jc w:val="both"/>
              <w:rPr>
                <w:color w:val="auto"/>
              </w:rPr>
            </w:pPr>
            <w:r w:rsidRPr="00EE0A72">
              <w:rPr>
                <w:color w:val="auto"/>
              </w:rPr>
              <w:t xml:space="preserve">- Курс специалиста по монтажу и пуско-наладочным работам ячеек </w:t>
            </w:r>
            <w:r w:rsidRPr="00EE0A72">
              <w:rPr>
                <w:color w:val="auto"/>
                <w:lang w:val="en-US"/>
              </w:rPr>
              <w:t>SM</w:t>
            </w:r>
            <w:r w:rsidRPr="00EE0A72">
              <w:rPr>
                <w:color w:val="auto"/>
              </w:rPr>
              <w:t>-6 – не менее 2 чел.</w:t>
            </w:r>
          </w:p>
          <w:p w:rsidR="003A657A" w:rsidRPr="00EE0A72" w:rsidRDefault="003A657A" w:rsidP="003A657A">
            <w:pPr>
              <w:spacing w:after="120"/>
              <w:ind w:left="567"/>
              <w:jc w:val="both"/>
              <w:rPr>
                <w:color w:val="auto"/>
              </w:rPr>
            </w:pPr>
            <w:r w:rsidRPr="00EE0A72">
              <w:rPr>
                <w:color w:val="auto"/>
              </w:rPr>
              <w:t xml:space="preserve">- Курс специалиста по монтажу и пуско-наладочным работам ячеек </w:t>
            </w:r>
            <w:r w:rsidRPr="00EE0A72">
              <w:rPr>
                <w:color w:val="auto"/>
                <w:lang w:val="en-US"/>
              </w:rPr>
              <w:t>RM</w:t>
            </w:r>
            <w:r w:rsidRPr="00EE0A72">
              <w:rPr>
                <w:color w:val="auto"/>
              </w:rPr>
              <w:t>-6 – не менее 2 чел.</w:t>
            </w:r>
          </w:p>
          <w:p w:rsidR="003A657A" w:rsidRDefault="003A657A" w:rsidP="007A4818">
            <w:pPr>
              <w:snapToGrid w:val="0"/>
              <w:spacing w:line="276" w:lineRule="auto"/>
              <w:jc w:val="both"/>
              <w:rPr>
                <w:rFonts w:cs="Tahoma"/>
              </w:rPr>
            </w:pPr>
          </w:p>
          <w:p w:rsidR="003934F5" w:rsidRDefault="003A657A" w:rsidP="007A4818">
            <w:pPr>
              <w:snapToGrid w:val="0"/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  <w:r w:rsidR="00BA018B">
              <w:rPr>
                <w:rFonts w:cs="Tahoma"/>
              </w:rPr>
              <w:t>. Гарантия на выполненные работы 5 лет.</w:t>
            </w:r>
          </w:p>
        </w:tc>
      </w:tr>
    </w:tbl>
    <w:p w:rsidR="003934F5" w:rsidRPr="001B1B66" w:rsidRDefault="006D262D" w:rsidP="001B1B66">
      <w:pPr>
        <w:spacing w:before="240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cs="Tahoma"/>
        </w:rPr>
        <w:t xml:space="preserve">         </w:t>
      </w:r>
      <w:r w:rsidR="00BA018B">
        <w:rPr>
          <w:rFonts w:cs="Tahoma"/>
        </w:rPr>
        <w:t xml:space="preserve">Приложение №1: </w:t>
      </w:r>
      <w:r w:rsidR="007D1132" w:rsidRPr="007D1132">
        <w:rPr>
          <w:rFonts w:cs="Tahoma"/>
          <w:bCs/>
        </w:rPr>
        <w:t>Реестр выполненных работ.</w:t>
      </w:r>
    </w:p>
    <w:p w:rsidR="003934F5" w:rsidRDefault="003934F5">
      <w:pPr>
        <w:spacing w:line="276" w:lineRule="auto"/>
        <w:ind w:left="-567" w:right="-284"/>
        <w:rPr>
          <w:rFonts w:cs="Tahoma"/>
        </w:rPr>
      </w:pPr>
    </w:p>
    <w:p w:rsidR="003934F5" w:rsidRDefault="006D262D">
      <w:pPr>
        <w:spacing w:line="276" w:lineRule="auto"/>
        <w:ind w:right="-283"/>
      </w:pPr>
      <w:r>
        <w:rPr>
          <w:rFonts w:cs="Tahoma"/>
        </w:rPr>
        <w:t xml:space="preserve">         </w:t>
      </w:r>
      <w:r w:rsidR="00BA018B">
        <w:rPr>
          <w:rFonts w:cs="Tahoma"/>
        </w:rPr>
        <w:t>Первый заместитель главного управляющего директора</w:t>
      </w:r>
      <w:r w:rsidR="00BA018B">
        <w:rPr>
          <w:rFonts w:cs="Tahoma"/>
        </w:rPr>
        <w:tab/>
        <w:t xml:space="preserve">                                            Д.С. Ракицкий</w:t>
      </w:r>
    </w:p>
    <w:p w:rsidR="003934F5" w:rsidRDefault="006D262D" w:rsidP="001B1B66">
      <w:pPr>
        <w:spacing w:after="240" w:line="276" w:lineRule="auto"/>
      </w:pPr>
      <w:r>
        <w:rPr>
          <w:rFonts w:cs="Tahoma"/>
        </w:rPr>
        <w:t xml:space="preserve">         </w:t>
      </w:r>
      <w:r w:rsidR="00BA018B">
        <w:rPr>
          <w:rFonts w:cs="Tahoma"/>
        </w:rPr>
        <w:t>ООО «Самарские коммунальные системы»</w:t>
      </w:r>
    </w:p>
    <w:sectPr w:rsidR="003934F5">
      <w:pgSz w:w="11906" w:h="16838"/>
      <w:pgMar w:top="567" w:right="567" w:bottom="567" w:left="56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D2C09"/>
    <w:multiLevelType w:val="multilevel"/>
    <w:tmpl w:val="FF7E3878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1">
    <w:nsid w:val="47F412BB"/>
    <w:multiLevelType w:val="multilevel"/>
    <w:tmpl w:val="A8124C6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FF7535A"/>
    <w:multiLevelType w:val="multilevel"/>
    <w:tmpl w:val="CBFABFAA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4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4F5"/>
    <w:rsid w:val="00031E16"/>
    <w:rsid w:val="00042F5D"/>
    <w:rsid w:val="00044E42"/>
    <w:rsid w:val="00075BD7"/>
    <w:rsid w:val="000A51F8"/>
    <w:rsid w:val="0013052D"/>
    <w:rsid w:val="001A0273"/>
    <w:rsid w:val="001B1B66"/>
    <w:rsid w:val="001B2B61"/>
    <w:rsid w:val="001C3972"/>
    <w:rsid w:val="001C3BFB"/>
    <w:rsid w:val="00277553"/>
    <w:rsid w:val="002A29AA"/>
    <w:rsid w:val="002D644A"/>
    <w:rsid w:val="00381BC7"/>
    <w:rsid w:val="003934F5"/>
    <w:rsid w:val="003A657A"/>
    <w:rsid w:val="003E0C07"/>
    <w:rsid w:val="0041534F"/>
    <w:rsid w:val="005200FC"/>
    <w:rsid w:val="00543FB1"/>
    <w:rsid w:val="005A741B"/>
    <w:rsid w:val="005C17B1"/>
    <w:rsid w:val="00663087"/>
    <w:rsid w:val="006823C9"/>
    <w:rsid w:val="00696A6F"/>
    <w:rsid w:val="006A5DEF"/>
    <w:rsid w:val="006D262D"/>
    <w:rsid w:val="00764F2E"/>
    <w:rsid w:val="00794F49"/>
    <w:rsid w:val="007A4818"/>
    <w:rsid w:val="007D1132"/>
    <w:rsid w:val="00897D15"/>
    <w:rsid w:val="009A19A7"/>
    <w:rsid w:val="00A86BC9"/>
    <w:rsid w:val="00AE18A8"/>
    <w:rsid w:val="00B06A38"/>
    <w:rsid w:val="00B65E02"/>
    <w:rsid w:val="00B82C60"/>
    <w:rsid w:val="00BA018B"/>
    <w:rsid w:val="00BF7A8F"/>
    <w:rsid w:val="00C57B89"/>
    <w:rsid w:val="00C76741"/>
    <w:rsid w:val="00C76A91"/>
    <w:rsid w:val="00CF08E3"/>
    <w:rsid w:val="00DD22E3"/>
    <w:rsid w:val="00E373C4"/>
    <w:rsid w:val="00EE0A72"/>
    <w:rsid w:val="00EE4290"/>
    <w:rsid w:val="00F500A5"/>
    <w:rsid w:val="00F610FF"/>
    <w:rsid w:val="00F7367B"/>
    <w:rsid w:val="00F920B1"/>
    <w:rsid w:val="00FC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6C1AB3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character" w:customStyle="1" w:styleId="a3">
    <w:name w:val="Верхний колонтитул Знак"/>
    <w:basedOn w:val="a0"/>
    <w:qFormat/>
    <w:rsid w:val="00507A2B"/>
    <w:rPr>
      <w:sz w:val="24"/>
      <w:szCs w:val="24"/>
    </w:rPr>
  </w:style>
  <w:style w:type="character" w:customStyle="1" w:styleId="a4">
    <w:name w:val="Нижний колонтитул Знак"/>
    <w:basedOn w:val="a0"/>
    <w:qFormat/>
    <w:rsid w:val="00507A2B"/>
    <w:rPr>
      <w:sz w:val="24"/>
      <w:szCs w:val="24"/>
    </w:rPr>
  </w:style>
  <w:style w:type="paragraph" w:customStyle="1" w:styleId="a5">
    <w:name w:val="Заголовок"/>
    <w:basedOn w:val="a"/>
    <w:next w:val="a6"/>
    <w:qFormat/>
    <w:rsid w:val="00620848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6">
    <w:name w:val="Body Text"/>
    <w:basedOn w:val="a"/>
    <w:rsid w:val="008F7C08"/>
    <w:rPr>
      <w:rFonts w:ascii="Arial" w:hAnsi="Arial" w:cs="Arial"/>
      <w:sz w:val="20"/>
    </w:rPr>
  </w:style>
  <w:style w:type="paragraph" w:styleId="a7">
    <w:name w:val="List"/>
    <w:basedOn w:val="a6"/>
    <w:rsid w:val="00620848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rsid w:val="00620848"/>
    <w:pPr>
      <w:suppressLineNumbers/>
    </w:pPr>
    <w:rPr>
      <w:rFonts w:cs="Mangal"/>
    </w:rPr>
  </w:style>
  <w:style w:type="paragraph" w:customStyle="1" w:styleId="11">
    <w:name w:val="Заголовок 11"/>
    <w:basedOn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paragraph" w:customStyle="1" w:styleId="1">
    <w:name w:val="Название объекта1"/>
    <w:basedOn w:val="a"/>
    <w:qFormat/>
    <w:rsid w:val="00620848"/>
    <w:pPr>
      <w:suppressLineNumbers/>
      <w:spacing w:before="120" w:after="120"/>
    </w:pPr>
    <w:rPr>
      <w:rFonts w:cs="Mangal"/>
      <w:i/>
      <w:iCs/>
    </w:rPr>
  </w:style>
  <w:style w:type="paragraph" w:styleId="aa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c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  <w:style w:type="paragraph" w:customStyle="1" w:styleId="ad">
    <w:name w:val="Верхний и нижний колонтитулы"/>
    <w:basedOn w:val="a"/>
    <w:qFormat/>
  </w:style>
  <w:style w:type="paragraph" w:customStyle="1" w:styleId="12">
    <w:name w:val="Верхний колонтитул1"/>
    <w:basedOn w:val="a"/>
    <w:qFormat/>
    <w:rsid w:val="00507A2B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qFormat/>
    <w:rsid w:val="00507A2B"/>
    <w:pPr>
      <w:tabs>
        <w:tab w:val="center" w:pos="4677"/>
        <w:tab w:val="right" w:pos="9355"/>
      </w:tabs>
    </w:pPr>
  </w:style>
  <w:style w:type="paragraph" w:styleId="ae">
    <w:name w:val="header"/>
    <w:basedOn w:val="a"/>
    <w:link w:val="14"/>
    <w:rsid w:val="003A657A"/>
    <w:pPr>
      <w:tabs>
        <w:tab w:val="center" w:pos="4153"/>
        <w:tab w:val="right" w:pos="8306"/>
      </w:tabs>
    </w:pPr>
    <w:rPr>
      <w:rFonts w:ascii="Arial" w:hAnsi="Arial"/>
      <w:color w:val="auto"/>
      <w:sz w:val="28"/>
      <w:szCs w:val="20"/>
    </w:rPr>
  </w:style>
  <w:style w:type="character" w:customStyle="1" w:styleId="14">
    <w:name w:val="Верхний колонтитул Знак1"/>
    <w:basedOn w:val="a0"/>
    <w:link w:val="ae"/>
    <w:rsid w:val="003A657A"/>
    <w:rPr>
      <w:rFonts w:ascii="Arial" w:hAnsi="Arial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6C1AB3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character" w:customStyle="1" w:styleId="a3">
    <w:name w:val="Верхний колонтитул Знак"/>
    <w:basedOn w:val="a0"/>
    <w:qFormat/>
    <w:rsid w:val="00507A2B"/>
    <w:rPr>
      <w:sz w:val="24"/>
      <w:szCs w:val="24"/>
    </w:rPr>
  </w:style>
  <w:style w:type="character" w:customStyle="1" w:styleId="a4">
    <w:name w:val="Нижний колонтитул Знак"/>
    <w:basedOn w:val="a0"/>
    <w:qFormat/>
    <w:rsid w:val="00507A2B"/>
    <w:rPr>
      <w:sz w:val="24"/>
      <w:szCs w:val="24"/>
    </w:rPr>
  </w:style>
  <w:style w:type="paragraph" w:customStyle="1" w:styleId="a5">
    <w:name w:val="Заголовок"/>
    <w:basedOn w:val="a"/>
    <w:next w:val="a6"/>
    <w:qFormat/>
    <w:rsid w:val="00620848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6">
    <w:name w:val="Body Text"/>
    <w:basedOn w:val="a"/>
    <w:rsid w:val="008F7C08"/>
    <w:rPr>
      <w:rFonts w:ascii="Arial" w:hAnsi="Arial" w:cs="Arial"/>
      <w:sz w:val="20"/>
    </w:rPr>
  </w:style>
  <w:style w:type="paragraph" w:styleId="a7">
    <w:name w:val="List"/>
    <w:basedOn w:val="a6"/>
    <w:rsid w:val="00620848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rsid w:val="00620848"/>
    <w:pPr>
      <w:suppressLineNumbers/>
    </w:pPr>
    <w:rPr>
      <w:rFonts w:cs="Mangal"/>
    </w:rPr>
  </w:style>
  <w:style w:type="paragraph" w:customStyle="1" w:styleId="11">
    <w:name w:val="Заголовок 11"/>
    <w:basedOn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paragraph" w:customStyle="1" w:styleId="1">
    <w:name w:val="Название объекта1"/>
    <w:basedOn w:val="a"/>
    <w:qFormat/>
    <w:rsid w:val="00620848"/>
    <w:pPr>
      <w:suppressLineNumbers/>
      <w:spacing w:before="120" w:after="120"/>
    </w:pPr>
    <w:rPr>
      <w:rFonts w:cs="Mangal"/>
      <w:i/>
      <w:iCs/>
    </w:rPr>
  </w:style>
  <w:style w:type="paragraph" w:styleId="aa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c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  <w:style w:type="paragraph" w:customStyle="1" w:styleId="ad">
    <w:name w:val="Верхний и нижний колонтитулы"/>
    <w:basedOn w:val="a"/>
    <w:qFormat/>
  </w:style>
  <w:style w:type="paragraph" w:customStyle="1" w:styleId="12">
    <w:name w:val="Верхний колонтитул1"/>
    <w:basedOn w:val="a"/>
    <w:qFormat/>
    <w:rsid w:val="00507A2B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qFormat/>
    <w:rsid w:val="00507A2B"/>
    <w:pPr>
      <w:tabs>
        <w:tab w:val="center" w:pos="4677"/>
        <w:tab w:val="right" w:pos="9355"/>
      </w:tabs>
    </w:pPr>
  </w:style>
  <w:style w:type="paragraph" w:styleId="ae">
    <w:name w:val="header"/>
    <w:basedOn w:val="a"/>
    <w:link w:val="14"/>
    <w:rsid w:val="003A657A"/>
    <w:pPr>
      <w:tabs>
        <w:tab w:val="center" w:pos="4153"/>
        <w:tab w:val="right" w:pos="8306"/>
      </w:tabs>
    </w:pPr>
    <w:rPr>
      <w:rFonts w:ascii="Arial" w:hAnsi="Arial"/>
      <w:color w:val="auto"/>
      <w:sz w:val="28"/>
      <w:szCs w:val="20"/>
    </w:rPr>
  </w:style>
  <w:style w:type="character" w:customStyle="1" w:styleId="14">
    <w:name w:val="Верхний колонтитул Знак1"/>
    <w:basedOn w:val="a0"/>
    <w:link w:val="ae"/>
    <w:rsid w:val="003A657A"/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ks@s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D1BEC-6859-434D-8892-BE00D0B6B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1220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SKS</Company>
  <LinksUpToDate>false</LinksUpToDate>
  <CharactersWithSpaces>8159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WASQ</dc:creator>
  <cp:lastModifiedBy>Хайрутдинов Равиль Инсафутдинович</cp:lastModifiedBy>
  <cp:revision>18</cp:revision>
  <cp:lastPrinted>2019-12-10T16:50:00Z</cp:lastPrinted>
  <dcterms:created xsi:type="dcterms:W3CDTF">2022-10-24T09:26:00Z</dcterms:created>
  <dcterms:modified xsi:type="dcterms:W3CDTF">2022-10-25T08:40:00Z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